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>Интерактивные технологии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z w:val="24"/>
          <w:szCs w:val="32"/>
        </w:rPr>
      </w:pPr>
      <w:r w:rsidRPr="006E44D7">
        <w:rPr>
          <w:rFonts w:ascii="Times New Roman" w:eastAsia="TimesNewRomanPSMT" w:hAnsi="Times New Roman" w:cs="Times New Roman"/>
          <w:i/>
          <w:sz w:val="24"/>
          <w:szCs w:val="32"/>
        </w:rPr>
        <w:t>Если у каждого из двух собеседников будет по ябло-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z w:val="24"/>
          <w:szCs w:val="32"/>
        </w:rPr>
      </w:pPr>
      <w:r w:rsidRPr="006E44D7">
        <w:rPr>
          <w:rFonts w:ascii="Times New Roman" w:eastAsia="TimesNewRomanPSMT" w:hAnsi="Times New Roman" w:cs="Times New Roman"/>
          <w:i/>
          <w:sz w:val="24"/>
          <w:szCs w:val="32"/>
        </w:rPr>
        <w:t>ку и они обменяются ими, то ничего не изменится. Но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z w:val="24"/>
          <w:szCs w:val="32"/>
        </w:rPr>
      </w:pPr>
      <w:r w:rsidRPr="006E44D7">
        <w:rPr>
          <w:rFonts w:ascii="Times New Roman" w:eastAsia="TimesNewRomanPSMT" w:hAnsi="Times New Roman" w:cs="Times New Roman"/>
          <w:i/>
          <w:sz w:val="24"/>
          <w:szCs w:val="32"/>
        </w:rPr>
        <w:t>если собеседники обменяются идеями, то у каждого их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z w:val="24"/>
          <w:szCs w:val="32"/>
        </w:rPr>
      </w:pPr>
      <w:r w:rsidRPr="006E44D7">
        <w:rPr>
          <w:rFonts w:ascii="Times New Roman" w:eastAsia="TimesNewRomanPSMT" w:hAnsi="Times New Roman" w:cs="Times New Roman"/>
          <w:i/>
          <w:sz w:val="24"/>
          <w:szCs w:val="32"/>
        </w:rPr>
        <w:t>станет в два раза больше.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-ItalicMT" w:hAnsi="Times New Roman" w:cs="Times New Roman"/>
          <w:i/>
          <w:iCs/>
          <w:sz w:val="24"/>
          <w:szCs w:val="32"/>
        </w:rPr>
      </w:pPr>
      <w:r w:rsidRPr="006E44D7">
        <w:rPr>
          <w:rFonts w:ascii="Times New Roman" w:eastAsia="TimesNewRomanPS-ItalicMT" w:hAnsi="Times New Roman" w:cs="Times New Roman"/>
          <w:i/>
          <w:iCs/>
          <w:sz w:val="24"/>
          <w:szCs w:val="32"/>
        </w:rPr>
        <w:t>Б. Шоу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В педагогиче</w:t>
      </w:r>
      <w:bookmarkStart w:id="0" w:name="_GoBack"/>
      <w:bookmarkEnd w:id="0"/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ской практике давно применяется термин </w:t>
      </w:r>
      <w:r w:rsidRPr="006E44D7">
        <w:rPr>
          <w:rFonts w:ascii="Cambria Math" w:eastAsia="TimesNewRomanPSMT" w:hAnsi="Cambria Math" w:cs="Cambria Math"/>
          <w:sz w:val="32"/>
          <w:szCs w:val="32"/>
        </w:rPr>
        <w:t>«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активные методы и формы обучения</w:t>
      </w:r>
      <w:r w:rsidRPr="006E44D7">
        <w:rPr>
          <w:rFonts w:ascii="Cambria Math" w:eastAsia="TimesNewRomanPSMT" w:hAnsi="Cambria Math" w:cs="Cambria Math"/>
          <w:sz w:val="32"/>
          <w:szCs w:val="32"/>
        </w:rPr>
        <w:t>»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. Он объединяет группу педагогических технологий, достигающих высокого уровня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субъектной активности учебной деятельности школьников.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В последнее время получил распространение еще один термин – </w:t>
      </w:r>
      <w:r w:rsidRPr="006E44D7">
        <w:rPr>
          <w:rFonts w:ascii="Cambria Math" w:eastAsia="TimesNewRomanPSMT" w:hAnsi="Cambria Math" w:cs="Cambria Math"/>
          <w:sz w:val="32"/>
          <w:szCs w:val="32"/>
        </w:rPr>
        <w:t>«</w:t>
      </w: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>интерактивное обучение</w:t>
      </w:r>
      <w:r w:rsidRPr="006E44D7">
        <w:rPr>
          <w:rFonts w:ascii="Cambria Math" w:eastAsia="TimesNewRomanPSMT" w:hAnsi="Cambria Math" w:cs="Cambria Math"/>
          <w:sz w:val="32"/>
          <w:szCs w:val="32"/>
        </w:rPr>
        <w:t>»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. Термин interactive learning (англ.) обозначает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обучение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, основанное на активном взаимодействии с субъектом обучения (ведущим, учителем, тренером, руководителем). По существу, оно представляет один из вариантов (моделей) коммуникативных технологий: их классификационные параметры совпадают. Иначе говоря, интерактивное обучение – это обучение с хорошо организованной обратной связью субъектов и объектов обучения, с двусторонним обменом информацией между ними.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Интерактивные технологии по В.В. Гузееву – это вид информационного обмена учащихся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с окружающей информационной средой. Можно выделить три режима информационного обмена.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Экстраактивный режим: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информационные потоки направлены от субъекта (обучающей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системы) к объекту обучения (учащемуся), но циркулируют в основном вокруг него, не проникая внутрь объекта. Ученик выступает в роли пассивного обучаемого. Этот режим характерен для лекции, для традиционной технологии (разомкнутое – неконтролируемое и некорректируемое управление педагогическим процессом). Такой режим чаще всего является пассивным, не вызывает субъектной активности ребенка, так как научение представлено, в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основном, активностью (экстраактивностью) обучающей среды.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Интраактивный режим: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информационные потоки идут на ученика или группу, вызывают их активную умственную деятельность, замкнутую внутри них. Ученики выступают здесь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как субъекты учения для себя, учащие себя. Этот режим характерен для технологий самостоятельной деятельности, самообучения, самовоспитания, саморазвития.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Интерактивный режим: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 этом случае информационные потоки проникают в сознание,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вызывают его активную деятельность и порождают обратный информационный поток, от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ученика к учителю. Информационные потоки, таким образом, или чередуются по направлению, или имеют двусторонний (встречный) характер: один поток исходит от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lastRenderedPageBreak/>
        <w:t>учителя, другой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– от ученика. Этот режим и характерен для интерактивных технологий.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Интерактивными технологиями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являются такие, в которых </w:t>
      </w: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>ученик выступает в постоянно флуктуирующих субъектно-объектных отношениях относительно обучающей</w:t>
      </w: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>системы, периодически становясь её автономным активным элементом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. Простейшими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примерами интерактивных технологий могут быть беседа или консультация. Больше всего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интерактивный режим представлен в технологических приемах, входящих в какую-либо кон-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кретную монотехнологию.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Примеры: проблематизация в технологии развивающего обучения, взаимоопрос у Шаталова, игровые ситуации и др.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6E44D7">
        <w:rPr>
          <w:rFonts w:ascii="Times New Roman" w:eastAsia="TimesNewRomanPS-BoldMT" w:hAnsi="Times New Roman" w:cs="Times New Roman"/>
          <w:b/>
          <w:bCs/>
          <w:sz w:val="32"/>
          <w:szCs w:val="32"/>
        </w:rPr>
        <w:t>Классификационные параметры интерактивных технологий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Уровень и характер применения: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любая педагогическая технология обладает той или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иной степенью интерактивности, но некоторые из них содержат интерактивный режим как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обязательный компонент. К таким технологиям можно отнести: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микротехнологии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, если взять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взаимодействие с конкретным ребенком;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модульно-локальные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в качестве дидактических и организационно-деятельностных игр, коллективных творческих дел и т.д.;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макротехнологии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,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какими являются дистанционное обучение, компьютерные технологии, обучение иностранному языку в разговоре; и, наконец, интерактивный характер имеют такие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метатехнологии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,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как технологии социального воспитания, общественно-государственного управления, сетевые, телекоммуникационные технологии.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Философская основа: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гуманистическая, природосообразная.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Методологический подход: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коммуникативный.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Ведущие факторы развития: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социогенные.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Научная концепция освоения опыта: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ассоциативно-рефлекторная.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Ориентация на личностные сферы и структуры: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информационная.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Характер содержания: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адаптивно-вариативный.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Вид социально-педагогической деятельности: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сопровождения.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Тип управления учебно-воспитательным процессом: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взаимообучение.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Преобладающие методы: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диалогические.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Организационные формы: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любые.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Преобладающие средства: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вербальные + программированные + аудиовизуальные + электронные.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Подход к ребенку и характер воспитательных взаимодействий: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интерактивный, демократический, сотрудничества.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Направление модернизации: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активизации.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Категория объектов: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все категории.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6E44D7">
        <w:rPr>
          <w:rFonts w:ascii="Times New Roman" w:eastAsia="TimesNewRomanPS-BoldMT" w:hAnsi="Times New Roman" w:cs="Times New Roman"/>
          <w:b/>
          <w:bCs/>
          <w:sz w:val="32"/>
          <w:szCs w:val="32"/>
        </w:rPr>
        <w:t>Целевые ориентации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lastRenderedPageBreak/>
        <w:t xml:space="preserve">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Активизация индивидуальных умственных процессов обучающихся.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Возбуждение внутреннего диалога у учащегося.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Обеспечение понимания информации, являющейся предметом обмена.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Индивидуализация педагогического взаимодействия.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Вывод учащегося на позицию субъекта обучения.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Достижение двухсторонней связи (обмена информацией) учащего и учащегося.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Самой общей задачей учителя-ведущего в интерактивной технологии является </w:t>
      </w: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фасилитация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(поддержка, облегчение) – направление и помощь процессу обмена информацией: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выявление многообразия точек зрения;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обращение к личному опыту участников;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поддержка активности участников;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соединение теории и практики;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взаимообогащение опыта участников;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облегчение восприятия, усвоения;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облегчение взаимопонимания участников;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поощрение творчества участников.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6E44D7">
        <w:rPr>
          <w:rFonts w:ascii="Times New Roman" w:eastAsia="TimesNewRomanPS-BoldMT" w:hAnsi="Times New Roman" w:cs="Times New Roman"/>
          <w:b/>
          <w:bCs/>
          <w:sz w:val="32"/>
          <w:szCs w:val="32"/>
        </w:rPr>
        <w:t>Концептуальные позиции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Интерактивное общение способствует умственному развитию.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через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все этапы процесса обмена информацией для передачи своего отклика начальному отправителю.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Двусторонний обмен информацией хотя и протекает медленнее, но более точен и повышает уверенность в правильности интерпретации сообщений.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Обратная связь повышает шансы на эффективный обмен информацией, позволяя обеим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сторонам устранять помехи.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Wingdings-Regular" w:hAnsi="Times New Roman" w:cs="Times New Roman"/>
          <w:sz w:val="32"/>
          <w:szCs w:val="32"/>
        </w:rPr>
        <w:t xml:space="preserve">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Контроль знаний должен предполагать умение применять полученные знания на практике, в реальных условиях.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6E44D7">
        <w:rPr>
          <w:rFonts w:ascii="Times New Roman" w:eastAsia="TimesNewRomanPS-BoldMT" w:hAnsi="Times New Roman" w:cs="Times New Roman"/>
          <w:b/>
          <w:bCs/>
          <w:sz w:val="32"/>
          <w:szCs w:val="32"/>
        </w:rPr>
        <w:t>Особенности организации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Интерактивные технологии основаны на </w:t>
      </w: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 xml:space="preserve">прямом взаимодействии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учащихся (обучаемых)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с учебным окружением. Учебное окружение, или учебная среда, выступает как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реальность,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которой учащийся находит для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lastRenderedPageBreak/>
        <w:t xml:space="preserve">себя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>область осваиваемого опыта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, причем речь идет не просто о подключении эмпирических наблюдений, жизненных впечатлений учащегося в качестве вспомогательного материала или иллюстративного дополнения. Опыт учащегося служит центральным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активатором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учебного познания. В традиционном обучении ведущий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(учитель, тренер) выполняет роль </w:t>
      </w:r>
      <w:r w:rsidRPr="006E44D7">
        <w:rPr>
          <w:rFonts w:ascii="Cambria Math" w:eastAsia="TimesNewRomanPSMT" w:hAnsi="Cambria Math" w:cs="Cambria Math"/>
          <w:sz w:val="32"/>
          <w:szCs w:val="32"/>
        </w:rPr>
        <w:t>«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фильтра</w:t>
      </w:r>
      <w:r w:rsidRPr="006E44D7">
        <w:rPr>
          <w:rFonts w:ascii="Cambria Math" w:eastAsia="TimesNewRomanPSMT" w:hAnsi="Cambria Math" w:cs="Cambria Math"/>
          <w:sz w:val="32"/>
          <w:szCs w:val="32"/>
        </w:rPr>
        <w:t>»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, пропускающего через себя учебную информацию, в интерактивном – роль помощника в работе, одного из факторов, активизирующих взаимонаправленные потоки информации.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По сравнению с традиционным, в интерактивных моделях обучения </w:t>
      </w:r>
      <w:r w:rsidRPr="006E44D7">
        <w:rPr>
          <w:rFonts w:ascii="Times New Roman" w:eastAsia="Arial-BoldItalicMT" w:hAnsi="Times New Roman" w:cs="Times New Roman"/>
          <w:b/>
          <w:bCs/>
          <w:i/>
          <w:iCs/>
          <w:sz w:val="32"/>
          <w:szCs w:val="32"/>
        </w:rPr>
        <w:t>меняется и взаимодействие с ведущим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: его активность уступает место активности учащихся, задача ведущего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– создать условия для их инициативы. В интерактивной технологии учащиеся выступают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полноправными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участниками,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их опыт важен не менее, чем опыт ведущего, который не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столько дает готовые знания, сколько побуждает учащихся к самостоятельному поиску.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Учитель (ведущий, тренер) выступает в интерактивных технологиях в нескольких основных ролях. В каждой из них он организует взаимодействие участников с той или иной областью информационной среды. В роли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информатора-эксперта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учитель излагает текстовый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материал, демонстрирует видеоряд, отвечает на вопросы участников, отслеживает результаты процесса и т.д. В роли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организатора-фасилитатора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он налаживает взаимодействие учащихся с социальным и физическим окружением (разбивает на подгруппы, побуждает их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самостоятельно собирать данные, координирует выполнение заданий, подготовку мини-презентаций и т.д.). В роли </w:t>
      </w:r>
      <w:r w:rsidRPr="006E44D7">
        <w:rPr>
          <w:rFonts w:ascii="Times New Roman" w:eastAsia="TimesNewRomanPS-ItalicMT" w:hAnsi="Times New Roman" w:cs="Times New Roman"/>
          <w:i/>
          <w:iCs/>
          <w:sz w:val="32"/>
          <w:szCs w:val="32"/>
        </w:rPr>
        <w:t xml:space="preserve">консультанта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учитель обращается к профессиональному опыту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участников, помогает искать решения уже поставленных задач, самостоятельно ставить новые и т.д.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В ряде интерактивных технологий ведущему не обязательно быть специалистом по данному предмету (более того, собственное мнение может даже помешать нейтральности обмена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информацией!). К недостаткам фасилитаторской роли относятся большие затраты труда учителя при подготовке, сложность точного планирования результатов, высокие энергозатраты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6E44D7">
        <w:rPr>
          <w:rFonts w:ascii="Times New Roman" w:eastAsia="TimesNewRomanPSMT" w:hAnsi="Times New Roman" w:cs="Times New Roman"/>
          <w:sz w:val="32"/>
          <w:szCs w:val="32"/>
        </w:rPr>
        <w:t>ведущего.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Источниками помех при интерактивном режиме могут быть: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язык (в вербальном или невербальном оформлении);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различия в восприятии, из-за которых может изменяться смысл в процессах кодирования и декодирования информации;</w:t>
      </w:r>
    </w:p>
    <w:p w:rsidR="006E44D7" w:rsidRPr="006E44D7" w:rsidRDefault="006E44D7" w:rsidP="006E4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6E44D7">
        <w:rPr>
          <w:rFonts w:ascii="Times New Roman" w:eastAsia="TimesNewRomanPSMT" w:hAnsi="Times New Roman" w:cs="Times New Roman"/>
          <w:sz w:val="32"/>
          <w:szCs w:val="32"/>
        </w:rPr>
        <w:t>– различия в организационном статусе между ведущим (руководителем) и учащимся (подчиненным).</w:t>
      </w:r>
    </w:p>
    <w:sectPr w:rsidR="006E44D7" w:rsidRPr="006E44D7" w:rsidSect="006E44D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C5" w:rsidRDefault="005F55C5" w:rsidP="006E44D7">
      <w:pPr>
        <w:spacing w:after="0" w:line="240" w:lineRule="auto"/>
      </w:pPr>
      <w:r>
        <w:separator/>
      </w:r>
    </w:p>
  </w:endnote>
  <w:endnote w:type="continuationSeparator" w:id="0">
    <w:p w:rsidR="005F55C5" w:rsidRDefault="005F55C5" w:rsidP="006E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040788"/>
      <w:docPartObj>
        <w:docPartGallery w:val="Page Numbers (Bottom of Page)"/>
        <w:docPartUnique/>
      </w:docPartObj>
    </w:sdtPr>
    <w:sdtContent>
      <w:p w:rsidR="006E44D7" w:rsidRDefault="006E44D7" w:rsidP="006E44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6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C5" w:rsidRDefault="005F55C5" w:rsidP="006E44D7">
      <w:pPr>
        <w:spacing w:after="0" w:line="240" w:lineRule="auto"/>
      </w:pPr>
      <w:r>
        <w:separator/>
      </w:r>
    </w:p>
  </w:footnote>
  <w:footnote w:type="continuationSeparator" w:id="0">
    <w:p w:rsidR="005F55C5" w:rsidRDefault="005F55C5" w:rsidP="006E4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1"/>
    <w:rsid w:val="001F3780"/>
    <w:rsid w:val="004626E3"/>
    <w:rsid w:val="005F55C5"/>
    <w:rsid w:val="006E44D7"/>
    <w:rsid w:val="009C0D81"/>
    <w:rsid w:val="00D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4D7"/>
  </w:style>
  <w:style w:type="paragraph" w:styleId="a5">
    <w:name w:val="footer"/>
    <w:basedOn w:val="a"/>
    <w:link w:val="a6"/>
    <w:uiPriority w:val="99"/>
    <w:unhideWhenUsed/>
    <w:rsid w:val="006E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4D7"/>
  </w:style>
  <w:style w:type="paragraph" w:styleId="a7">
    <w:name w:val="Balloon Text"/>
    <w:basedOn w:val="a"/>
    <w:link w:val="a8"/>
    <w:uiPriority w:val="99"/>
    <w:semiHidden/>
    <w:unhideWhenUsed/>
    <w:rsid w:val="006E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4D7"/>
  </w:style>
  <w:style w:type="paragraph" w:styleId="a5">
    <w:name w:val="footer"/>
    <w:basedOn w:val="a"/>
    <w:link w:val="a6"/>
    <w:uiPriority w:val="99"/>
    <w:unhideWhenUsed/>
    <w:rsid w:val="006E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4D7"/>
  </w:style>
  <w:style w:type="paragraph" w:styleId="a7">
    <w:name w:val="Balloon Text"/>
    <w:basedOn w:val="a"/>
    <w:link w:val="a8"/>
    <w:uiPriority w:val="99"/>
    <w:semiHidden/>
    <w:unhideWhenUsed/>
    <w:rsid w:val="006E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2016-03-03T16:22:00Z</cp:lastPrinted>
  <dcterms:created xsi:type="dcterms:W3CDTF">2016-03-03T16:12:00Z</dcterms:created>
  <dcterms:modified xsi:type="dcterms:W3CDTF">2016-03-03T16:23:00Z</dcterms:modified>
</cp:coreProperties>
</file>